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4B1" w:rsidRDefault="002714B1" w:rsidP="006E4C7D">
      <w:pPr>
        <w:spacing w:after="100" w:afterAutospacing="1" w:line="240" w:lineRule="exact"/>
        <w:jc w:val="center"/>
        <w:rPr>
          <w:b/>
        </w:rPr>
      </w:pPr>
      <w:r>
        <w:rPr>
          <w:b/>
        </w:rPr>
        <w:t>Instructivo Institucional</w:t>
      </w:r>
    </w:p>
    <w:p w:rsidR="002714B1" w:rsidRPr="00001204" w:rsidRDefault="002714B1" w:rsidP="006E4C7D">
      <w:pPr>
        <w:spacing w:after="100" w:afterAutospacing="1" w:line="240" w:lineRule="exact"/>
        <w:jc w:val="center"/>
        <w:rPr>
          <w:b/>
        </w:rPr>
      </w:pPr>
      <w:r w:rsidRPr="00001204">
        <w:rPr>
          <w:b/>
        </w:rPr>
        <w:t xml:space="preserve">Ley N° 20.285, </w:t>
      </w:r>
      <w:r>
        <w:rPr>
          <w:b/>
        </w:rPr>
        <w:t>s</w:t>
      </w:r>
      <w:r w:rsidRPr="00001204">
        <w:rPr>
          <w:b/>
        </w:rPr>
        <w:t>obre Acceso a la Información Pública</w:t>
      </w:r>
    </w:p>
    <w:p w:rsidR="002714B1" w:rsidRDefault="002714B1" w:rsidP="006E4C7D">
      <w:pPr>
        <w:spacing w:line="240" w:lineRule="exact"/>
        <w:jc w:val="center"/>
      </w:pPr>
    </w:p>
    <w:p w:rsidR="002714B1" w:rsidRDefault="002714B1" w:rsidP="00F50B0B">
      <w:pPr>
        <w:spacing w:line="240" w:lineRule="exact"/>
        <w:jc w:val="both"/>
      </w:pPr>
      <w:r>
        <w:t xml:space="preserve">La Ley N° 20.285, es </w:t>
      </w:r>
      <w:r w:rsidR="004A557E">
        <w:t>el</w:t>
      </w:r>
      <w:r>
        <w:t xml:space="preserve"> marco normativo que establece el </w:t>
      </w:r>
      <w:r>
        <w:rPr>
          <w:b/>
        </w:rPr>
        <w:t>derecho de las personas a tener conocimiento de la información que se encuentra en cualquier entidad estatal</w:t>
      </w:r>
      <w:r>
        <w:t>.</w:t>
      </w:r>
    </w:p>
    <w:p w:rsidR="002714B1" w:rsidRDefault="002714B1" w:rsidP="00F50B0B">
      <w:pPr>
        <w:spacing w:line="240" w:lineRule="exact"/>
        <w:jc w:val="both"/>
      </w:pPr>
      <w:r>
        <w:t xml:space="preserve">Para facilitar el acceso de las personas a la información pública, las Instituciones Públicas han implementado procedimientos en dos ámbitos: </w:t>
      </w:r>
      <w:r>
        <w:rPr>
          <w:u w:val="single"/>
        </w:rPr>
        <w:t xml:space="preserve">Transparencia Activa </w:t>
      </w:r>
      <w:r>
        <w:t xml:space="preserve">y </w:t>
      </w:r>
      <w:r>
        <w:rPr>
          <w:u w:val="single"/>
        </w:rPr>
        <w:t>Sistema de solicitudes de acceso a la información pública</w:t>
      </w:r>
      <w:r>
        <w:t>.</w:t>
      </w:r>
    </w:p>
    <w:p w:rsidR="002714B1" w:rsidRDefault="002714B1" w:rsidP="00F50B0B">
      <w:pPr>
        <w:spacing w:line="240" w:lineRule="exact"/>
        <w:jc w:val="both"/>
      </w:pPr>
    </w:p>
    <w:p w:rsidR="002714B1" w:rsidRPr="009A3909" w:rsidRDefault="002714B1" w:rsidP="002A4C42">
      <w:pPr>
        <w:tabs>
          <w:tab w:val="left" w:pos="360"/>
        </w:tabs>
        <w:spacing w:line="240" w:lineRule="exact"/>
        <w:jc w:val="both"/>
        <w:rPr>
          <w:b/>
        </w:rPr>
      </w:pPr>
      <w:r>
        <w:rPr>
          <w:b/>
        </w:rPr>
        <w:t>1.</w:t>
      </w:r>
      <w:r>
        <w:rPr>
          <w:b/>
        </w:rPr>
        <w:tab/>
      </w:r>
      <w:r w:rsidRPr="009A3909">
        <w:rPr>
          <w:b/>
        </w:rPr>
        <w:t>¿En qué consiste la Transparencia Activa?</w:t>
      </w:r>
    </w:p>
    <w:p w:rsidR="002714B1" w:rsidRDefault="002714B1" w:rsidP="008D21A6">
      <w:pPr>
        <w:spacing w:line="240" w:lineRule="exact"/>
        <w:ind w:left="360"/>
        <w:jc w:val="both"/>
      </w:pPr>
      <w:r w:rsidRPr="008D21A6">
        <w:t xml:space="preserve">Consiste </w:t>
      </w:r>
      <w:r>
        <w:t>en publicar y mantener en el sitio Web de la institución, la información relacionada con las principales actividades del Organismo del Estado.</w:t>
      </w:r>
    </w:p>
    <w:p w:rsidR="002714B1" w:rsidRDefault="002714B1" w:rsidP="008D21A6">
      <w:pPr>
        <w:spacing w:line="240" w:lineRule="exact"/>
        <w:ind w:left="360"/>
        <w:jc w:val="both"/>
      </w:pPr>
      <w:r>
        <w:t>A través del Banner Gobierno Transparente que se encuentra en los sitios Web de las instituciones públicas, los ciudadanos encontrarán publicada permanentemente la siguiente información:</w:t>
      </w:r>
    </w:p>
    <w:p w:rsidR="002714B1" w:rsidRDefault="002714B1" w:rsidP="00625CFF">
      <w:pPr>
        <w:tabs>
          <w:tab w:val="left" w:pos="720"/>
        </w:tabs>
        <w:spacing w:line="240" w:lineRule="exact"/>
        <w:ind w:left="360"/>
        <w:jc w:val="both"/>
      </w:pPr>
      <w:r>
        <w:t>a)</w:t>
      </w:r>
      <w:r>
        <w:tab/>
        <w:t>La estructura orgánica.</w:t>
      </w:r>
    </w:p>
    <w:p w:rsidR="002714B1" w:rsidRDefault="002714B1" w:rsidP="008D21A6">
      <w:pPr>
        <w:spacing w:line="240" w:lineRule="exact"/>
        <w:ind w:left="360"/>
        <w:jc w:val="both"/>
      </w:pPr>
      <w:r>
        <w:t>b)</w:t>
      </w:r>
      <w:r>
        <w:tab/>
        <w:t>Las facultades, funciones y atribuciones de sus unidades.</w:t>
      </w:r>
    </w:p>
    <w:p w:rsidR="002714B1" w:rsidRDefault="002714B1" w:rsidP="008D21A6">
      <w:pPr>
        <w:tabs>
          <w:tab w:val="left" w:pos="720"/>
        </w:tabs>
        <w:spacing w:line="240" w:lineRule="exact"/>
        <w:ind w:left="360"/>
        <w:jc w:val="both"/>
      </w:pPr>
      <w:r>
        <w:t>c)</w:t>
      </w:r>
      <w:r>
        <w:tab/>
        <w:t>El marco normativo.</w:t>
      </w:r>
    </w:p>
    <w:p w:rsidR="002714B1" w:rsidRDefault="002714B1" w:rsidP="008D21A6">
      <w:pPr>
        <w:tabs>
          <w:tab w:val="left" w:pos="720"/>
        </w:tabs>
        <w:spacing w:line="240" w:lineRule="exact"/>
        <w:ind w:left="720" w:hanging="360"/>
        <w:jc w:val="both"/>
      </w:pPr>
      <w:r>
        <w:t>d)</w:t>
      </w:r>
      <w:r>
        <w:tab/>
        <w:t>La planta del personal y el personal a contrata y a honorarios, con las correspondientes remuneraciones.</w:t>
      </w:r>
    </w:p>
    <w:p w:rsidR="002714B1" w:rsidRDefault="002714B1" w:rsidP="006F68A5">
      <w:pPr>
        <w:spacing w:line="240" w:lineRule="exact"/>
        <w:ind w:left="360"/>
        <w:jc w:val="both"/>
      </w:pPr>
      <w:r>
        <w:t>Las Instituciones Públicas actualizan mensualmente esta información, los primeros 10 días hábiles de cada mes.</w:t>
      </w:r>
    </w:p>
    <w:p w:rsidR="00042E28" w:rsidRDefault="00042E28" w:rsidP="00042E28">
      <w:pPr>
        <w:spacing w:line="240" w:lineRule="exact"/>
        <w:ind w:left="720"/>
        <w:jc w:val="both"/>
        <w:rPr>
          <w:b/>
        </w:rPr>
      </w:pPr>
    </w:p>
    <w:p w:rsidR="002714B1" w:rsidRPr="009A3909" w:rsidRDefault="002714B1" w:rsidP="00C905DA">
      <w:pPr>
        <w:numPr>
          <w:ilvl w:val="0"/>
          <w:numId w:val="6"/>
        </w:numPr>
        <w:tabs>
          <w:tab w:val="clear" w:pos="720"/>
          <w:tab w:val="num" w:pos="360"/>
        </w:tabs>
        <w:spacing w:line="240" w:lineRule="exact"/>
        <w:ind w:hanging="720"/>
        <w:jc w:val="both"/>
        <w:rPr>
          <w:b/>
        </w:rPr>
      </w:pPr>
      <w:r w:rsidRPr="009A3909">
        <w:rPr>
          <w:b/>
        </w:rPr>
        <w:t>¿En qué consiste el Sistema de solicitudes de acceso a la información pública?</w:t>
      </w:r>
    </w:p>
    <w:p w:rsidR="002714B1" w:rsidRDefault="002714B1" w:rsidP="006F68A5">
      <w:pPr>
        <w:spacing w:line="240" w:lineRule="exact"/>
        <w:ind w:left="360"/>
        <w:jc w:val="both"/>
      </w:pPr>
      <w:r w:rsidRPr="008D21A6">
        <w:t xml:space="preserve">Consiste </w:t>
      </w:r>
      <w:r>
        <w:t>en la implementación de procedimientos, por parte de las Instituciones Públicas, para recibir, gestionar y responder solicitudes de información pública que presenta la ciudadanía.</w:t>
      </w:r>
    </w:p>
    <w:p w:rsidR="002714B1" w:rsidRDefault="002714B1" w:rsidP="006F68A5">
      <w:pPr>
        <w:spacing w:line="240" w:lineRule="exact"/>
        <w:ind w:left="360"/>
        <w:jc w:val="both"/>
      </w:pPr>
      <w:r>
        <w:t xml:space="preserve">Si la información que las personas buscan no se encuentra publicada </w:t>
      </w:r>
      <w:r>
        <w:rPr>
          <w:b/>
        </w:rPr>
        <w:t>pueden solicitarla por escrito</w:t>
      </w:r>
      <w:r>
        <w:t>, a través del canal presencial o virtual de atención ciudadana.</w:t>
      </w:r>
    </w:p>
    <w:p w:rsidR="002714B1" w:rsidRDefault="002714B1" w:rsidP="006F68A5">
      <w:pPr>
        <w:spacing w:line="240" w:lineRule="exact"/>
        <w:ind w:left="360"/>
        <w:jc w:val="both"/>
      </w:pPr>
      <w:r>
        <w:t>La única causal que tienen los organismos públicos, para no entregar la información que usted solicita, es que exista un motivo de secreto o reserva establecido por una ley de quórum calificado.</w:t>
      </w:r>
    </w:p>
    <w:p w:rsidR="002714B1" w:rsidRDefault="002714B1" w:rsidP="006F68A5">
      <w:pPr>
        <w:spacing w:line="240" w:lineRule="exact"/>
        <w:ind w:left="360"/>
        <w:jc w:val="both"/>
      </w:pPr>
      <w:r>
        <w:t>No podrán imponerse condiciones de uso de la información o restricciones a su empleo, salvo que estén expr</w:t>
      </w:r>
      <w:r w:rsidR="00042E28">
        <w:t>esamente estipuladas en una ley o en el Auto Acordado del Tribunal Calificador de Elecciones.</w:t>
      </w:r>
    </w:p>
    <w:p w:rsidR="002714B1" w:rsidRDefault="002714B1" w:rsidP="006F68A5">
      <w:pPr>
        <w:spacing w:line="240" w:lineRule="exact"/>
        <w:ind w:left="360"/>
        <w:jc w:val="both"/>
      </w:pPr>
      <w:r>
        <w:lastRenderedPageBreak/>
        <w:t xml:space="preserve">La Ley N° 20.285 establece como plazo de respuesta de las solicitudes de acceso a la información pública, </w:t>
      </w:r>
      <w:r>
        <w:rPr>
          <w:b/>
        </w:rPr>
        <w:t xml:space="preserve">20 días hábiles, prorrogables por 10 días hábiles </w:t>
      </w:r>
      <w:r>
        <w:t>cuando existan circunstancias que hagan difícil reunir la información, comunicando previamente al solicitante las razones de la prórroga.</w:t>
      </w:r>
    </w:p>
    <w:p w:rsidR="002714B1" w:rsidRDefault="002714B1" w:rsidP="006F68A5">
      <w:pPr>
        <w:spacing w:line="240" w:lineRule="exact"/>
        <w:ind w:left="360"/>
        <w:jc w:val="both"/>
      </w:pPr>
    </w:p>
    <w:p w:rsidR="002714B1" w:rsidRPr="00C905DA" w:rsidRDefault="002714B1" w:rsidP="00C905DA">
      <w:pPr>
        <w:numPr>
          <w:ilvl w:val="0"/>
          <w:numId w:val="6"/>
        </w:numPr>
        <w:tabs>
          <w:tab w:val="clear" w:pos="720"/>
          <w:tab w:val="num" w:pos="360"/>
        </w:tabs>
        <w:spacing w:line="240" w:lineRule="exact"/>
        <w:ind w:hanging="720"/>
        <w:jc w:val="both"/>
        <w:rPr>
          <w:b/>
        </w:rPr>
      </w:pPr>
      <w:r w:rsidRPr="00C905DA">
        <w:rPr>
          <w:b/>
        </w:rPr>
        <w:t>¿Cómo se realiza una solicitud de acceso a la información pública?</w:t>
      </w:r>
    </w:p>
    <w:p w:rsidR="002714B1" w:rsidRDefault="002714B1" w:rsidP="00097433">
      <w:pPr>
        <w:spacing w:line="240" w:lineRule="exact"/>
        <w:ind w:left="360"/>
        <w:jc w:val="both"/>
      </w:pPr>
      <w:r>
        <w:t>Para presentar una solicitud de acceso a la información pública, usted debe tener presente lo siguiente:</w:t>
      </w:r>
    </w:p>
    <w:p w:rsidR="002714B1" w:rsidRPr="00891343" w:rsidRDefault="002714B1" w:rsidP="00CF2018">
      <w:pPr>
        <w:tabs>
          <w:tab w:val="left" w:pos="900"/>
        </w:tabs>
        <w:spacing w:line="240" w:lineRule="exact"/>
        <w:ind w:left="360"/>
        <w:jc w:val="both"/>
      </w:pPr>
      <w:r w:rsidRPr="00891343">
        <w:rPr>
          <w:b/>
        </w:rPr>
        <w:t>3.1.</w:t>
      </w:r>
      <w:r w:rsidRPr="00891343">
        <w:tab/>
      </w:r>
      <w:r w:rsidRPr="00891343">
        <w:rPr>
          <w:b/>
        </w:rPr>
        <w:t>Vías de Ingreso de una solicitud de información pública</w:t>
      </w:r>
    </w:p>
    <w:p w:rsidR="002714B1" w:rsidRDefault="002714B1" w:rsidP="00A51864">
      <w:pPr>
        <w:spacing w:line="240" w:lineRule="exact"/>
        <w:ind w:left="900"/>
        <w:jc w:val="both"/>
      </w:pPr>
      <w:r>
        <w:t>Se puede solicitar información pública acerca del Servicio Electoral, de las siguientes formas:</w:t>
      </w:r>
    </w:p>
    <w:p w:rsidR="00042E28" w:rsidRDefault="002714B1" w:rsidP="001F6EF0">
      <w:pPr>
        <w:pStyle w:val="Prrafodelista"/>
        <w:numPr>
          <w:ilvl w:val="1"/>
          <w:numId w:val="1"/>
        </w:numPr>
        <w:spacing w:line="240" w:lineRule="exact"/>
        <w:ind w:left="1620"/>
        <w:jc w:val="both"/>
      </w:pPr>
      <w:r w:rsidRPr="00042E28">
        <w:rPr>
          <w:b/>
        </w:rPr>
        <w:t>Virtualmente</w:t>
      </w:r>
      <w:r>
        <w:t>; Ingresando su solicitud a través del formulario Web disponible en nuestro sitio institucional</w:t>
      </w:r>
      <w:r w:rsidR="00042E28">
        <w:t xml:space="preserve"> </w:t>
      </w:r>
      <w:hyperlink r:id="rId8" w:history="1">
        <w:r w:rsidR="00042E28" w:rsidRPr="00401BCF">
          <w:rPr>
            <w:rStyle w:val="Hipervnculo"/>
          </w:rPr>
          <w:t>www.tribunalcalificador.cl</w:t>
        </w:r>
      </w:hyperlink>
      <w:r w:rsidR="00042E28">
        <w:t xml:space="preserve">  </w:t>
      </w:r>
    </w:p>
    <w:p w:rsidR="002714B1" w:rsidRDefault="002714B1" w:rsidP="00A51864">
      <w:pPr>
        <w:pStyle w:val="Prrafodelista"/>
        <w:spacing w:line="240" w:lineRule="exact"/>
        <w:ind w:left="1260" w:hanging="360"/>
      </w:pPr>
    </w:p>
    <w:p w:rsidR="002714B1" w:rsidRDefault="002714B1" w:rsidP="00A51864">
      <w:pPr>
        <w:pStyle w:val="Prrafodelista"/>
        <w:numPr>
          <w:ilvl w:val="0"/>
          <w:numId w:val="1"/>
        </w:numPr>
        <w:spacing w:line="240" w:lineRule="exact"/>
        <w:ind w:left="1260"/>
        <w:jc w:val="both"/>
      </w:pPr>
      <w:r w:rsidRPr="00293864">
        <w:rPr>
          <w:b/>
        </w:rPr>
        <w:t>Carta o Escrito</w:t>
      </w:r>
      <w:r w:rsidRPr="00230B4B">
        <w:t>;</w:t>
      </w:r>
      <w:r>
        <w:t xml:space="preserve"> Enviando o presentando una carta dirigida al Director del Servicio Electoral en nuestras Oficinas a lo largo del país. Para lo cual, usted encontrará un completo listado en el Enlace “Direcciones de las oficinas de recepción de solicitudes de acceso a información y horarios de atención”.</w:t>
      </w:r>
    </w:p>
    <w:p w:rsidR="002714B1" w:rsidRDefault="002714B1" w:rsidP="00A51864">
      <w:pPr>
        <w:pStyle w:val="Prrafodelista"/>
        <w:ind w:left="1260" w:hanging="360"/>
      </w:pPr>
    </w:p>
    <w:p w:rsidR="002714B1" w:rsidRDefault="002714B1" w:rsidP="00A51864">
      <w:pPr>
        <w:pStyle w:val="Prrafodelista"/>
        <w:numPr>
          <w:ilvl w:val="0"/>
          <w:numId w:val="1"/>
        </w:numPr>
        <w:spacing w:line="240" w:lineRule="exact"/>
        <w:ind w:left="1260"/>
        <w:jc w:val="both"/>
      </w:pPr>
      <w:r w:rsidRPr="00E55AC8">
        <w:rPr>
          <w:b/>
        </w:rPr>
        <w:t>Formulario papel</w:t>
      </w:r>
      <w:r w:rsidRPr="00230B4B">
        <w:t xml:space="preserve">; </w:t>
      </w:r>
      <w:r>
        <w:t>Descargando directamente en nuestro sitio institucional</w:t>
      </w:r>
      <w:r w:rsidR="00042E28">
        <w:t xml:space="preserve"> </w:t>
      </w:r>
      <w:hyperlink r:id="rId9" w:history="1">
        <w:r w:rsidR="00042E28" w:rsidRPr="00401BCF">
          <w:rPr>
            <w:rStyle w:val="Hipervnculo"/>
          </w:rPr>
          <w:t>www.tribunalcalificador.cl</w:t>
        </w:r>
      </w:hyperlink>
      <w:r w:rsidR="00042E28">
        <w:t xml:space="preserve"> </w:t>
      </w:r>
    </w:p>
    <w:p w:rsidR="002714B1" w:rsidRDefault="002714B1" w:rsidP="00A51864">
      <w:pPr>
        <w:pStyle w:val="Prrafodelista"/>
        <w:spacing w:line="240" w:lineRule="exact"/>
        <w:ind w:left="900"/>
        <w:jc w:val="both"/>
      </w:pPr>
    </w:p>
    <w:p w:rsidR="002714B1" w:rsidRDefault="002714B1" w:rsidP="00A51864">
      <w:pPr>
        <w:pStyle w:val="Prrafodelista"/>
        <w:numPr>
          <w:ilvl w:val="1"/>
          <w:numId w:val="1"/>
        </w:numPr>
        <w:tabs>
          <w:tab w:val="left" w:pos="1620"/>
        </w:tabs>
        <w:spacing w:line="240" w:lineRule="exact"/>
        <w:ind w:left="1620"/>
        <w:jc w:val="both"/>
      </w:pPr>
      <w:r>
        <w:t xml:space="preserve">Presentando el formulario en </w:t>
      </w:r>
      <w:r w:rsidR="00042E28">
        <w:t>la sede del Tribunal, en Compañía de Jesus N° 1288, Santiago.</w:t>
      </w:r>
      <w:r>
        <w:t xml:space="preserve"> </w:t>
      </w:r>
    </w:p>
    <w:p w:rsidR="002714B1" w:rsidRDefault="002714B1" w:rsidP="00CF2018">
      <w:pPr>
        <w:spacing w:line="240" w:lineRule="exact"/>
        <w:ind w:left="900"/>
        <w:jc w:val="both"/>
        <w:rPr>
          <w:b/>
        </w:rPr>
      </w:pPr>
    </w:p>
    <w:p w:rsidR="002714B1" w:rsidRPr="00891343" w:rsidRDefault="002714B1" w:rsidP="00FB4E6C">
      <w:pPr>
        <w:tabs>
          <w:tab w:val="left" w:pos="900"/>
        </w:tabs>
        <w:spacing w:line="240" w:lineRule="exact"/>
        <w:ind w:left="360"/>
        <w:jc w:val="both"/>
      </w:pPr>
      <w:r w:rsidRPr="00891343">
        <w:rPr>
          <w:b/>
        </w:rPr>
        <w:t>3.2.</w:t>
      </w:r>
      <w:r w:rsidRPr="00891343">
        <w:tab/>
      </w:r>
      <w:r w:rsidRPr="00891343">
        <w:rPr>
          <w:b/>
        </w:rPr>
        <w:t>Requisitos que debe cumplir la solicitud de información pública</w:t>
      </w:r>
    </w:p>
    <w:p w:rsidR="002714B1" w:rsidRDefault="002714B1" w:rsidP="00FB4E6C">
      <w:pPr>
        <w:spacing w:line="240" w:lineRule="exact"/>
        <w:ind w:left="900"/>
        <w:jc w:val="both"/>
      </w:pPr>
      <w:r>
        <w:t>El artículo 12 de la Ley N° 20.285, señala que la solicitud de información pública debe contener los siguientes datos:</w:t>
      </w:r>
    </w:p>
    <w:p w:rsidR="002714B1" w:rsidRDefault="002714B1" w:rsidP="00FB4E6C">
      <w:pPr>
        <w:numPr>
          <w:ilvl w:val="0"/>
          <w:numId w:val="3"/>
        </w:numPr>
        <w:tabs>
          <w:tab w:val="clear" w:pos="2340"/>
          <w:tab w:val="num" w:pos="1260"/>
        </w:tabs>
        <w:spacing w:line="240" w:lineRule="exact"/>
        <w:ind w:left="1260"/>
        <w:jc w:val="both"/>
      </w:pPr>
      <w:r>
        <w:t>Nombre, apellidos y dirección del solicitante y/o de su apoderado; según corresponda</w:t>
      </w:r>
    </w:p>
    <w:p w:rsidR="002714B1" w:rsidRDefault="002714B1" w:rsidP="00FB4E6C">
      <w:pPr>
        <w:numPr>
          <w:ilvl w:val="0"/>
          <w:numId w:val="3"/>
        </w:numPr>
        <w:tabs>
          <w:tab w:val="clear" w:pos="2340"/>
          <w:tab w:val="num" w:pos="1260"/>
        </w:tabs>
        <w:spacing w:line="240" w:lineRule="exact"/>
        <w:ind w:left="1260"/>
        <w:jc w:val="both"/>
      </w:pPr>
      <w:r>
        <w:t>Identificación clara y precisa de la información que se requiere</w:t>
      </w:r>
    </w:p>
    <w:p w:rsidR="002714B1" w:rsidRDefault="002714B1" w:rsidP="00FB4E6C">
      <w:pPr>
        <w:numPr>
          <w:ilvl w:val="0"/>
          <w:numId w:val="3"/>
        </w:numPr>
        <w:tabs>
          <w:tab w:val="clear" w:pos="2340"/>
          <w:tab w:val="num" w:pos="1260"/>
        </w:tabs>
        <w:spacing w:line="240" w:lineRule="exact"/>
        <w:ind w:left="1260"/>
        <w:jc w:val="both"/>
      </w:pPr>
      <w:r>
        <w:t>Firma del solicitante estampada por cualquier medio</w:t>
      </w:r>
    </w:p>
    <w:p w:rsidR="002714B1" w:rsidRDefault="002714B1" w:rsidP="00FB4E6C">
      <w:pPr>
        <w:numPr>
          <w:ilvl w:val="0"/>
          <w:numId w:val="3"/>
        </w:numPr>
        <w:tabs>
          <w:tab w:val="clear" w:pos="2340"/>
          <w:tab w:val="num" w:pos="1260"/>
        </w:tabs>
        <w:spacing w:line="240" w:lineRule="exact"/>
        <w:ind w:left="1260"/>
        <w:jc w:val="both"/>
      </w:pPr>
      <w:r>
        <w:t xml:space="preserve">Órgano administrativo al que se dirige: </w:t>
      </w:r>
      <w:r w:rsidR="00042E28">
        <w:t>Tribunal Calificador de Elecciones</w:t>
      </w:r>
    </w:p>
    <w:p w:rsidR="002714B1" w:rsidRDefault="002714B1" w:rsidP="00C84041">
      <w:pPr>
        <w:spacing w:line="240" w:lineRule="exact"/>
        <w:ind w:left="900"/>
        <w:jc w:val="both"/>
      </w:pPr>
      <w:r>
        <w:t>Si usted omite uno de estos requisitos, la Institución le solicitará que complete su solicitud en un plazo de 5 días desde que recibe la notificación. Si no rectifica el dato olvidado en el plazo señalado, la Institución dará por desistida su petición según el artículo 12 de la Ley N° 20.285.</w:t>
      </w:r>
    </w:p>
    <w:p w:rsidR="002714B1" w:rsidRPr="00397F09" w:rsidRDefault="002714B1" w:rsidP="00C84041">
      <w:pPr>
        <w:spacing w:line="240" w:lineRule="exact"/>
        <w:ind w:left="900"/>
        <w:jc w:val="both"/>
        <w:rPr>
          <w:sz w:val="18"/>
          <w:szCs w:val="18"/>
        </w:rPr>
      </w:pPr>
    </w:p>
    <w:p w:rsidR="002714B1" w:rsidRDefault="002714B1" w:rsidP="00116404">
      <w:pPr>
        <w:tabs>
          <w:tab w:val="left" w:pos="900"/>
        </w:tabs>
        <w:spacing w:line="240" w:lineRule="exact"/>
        <w:ind w:left="360"/>
        <w:jc w:val="both"/>
      </w:pPr>
      <w:r w:rsidRPr="00CF2018">
        <w:rPr>
          <w:b/>
        </w:rPr>
        <w:t>3.</w:t>
      </w:r>
      <w:r>
        <w:rPr>
          <w:b/>
        </w:rPr>
        <w:t>3</w:t>
      </w:r>
      <w:r w:rsidRPr="00CF2018">
        <w:rPr>
          <w:b/>
        </w:rPr>
        <w:t>.</w:t>
      </w:r>
      <w:r>
        <w:tab/>
      </w:r>
      <w:r>
        <w:rPr>
          <w:b/>
        </w:rPr>
        <w:t>Medios de notificación de la solicitud de información</w:t>
      </w:r>
    </w:p>
    <w:p w:rsidR="002714B1" w:rsidRDefault="002714B1" w:rsidP="00116404">
      <w:pPr>
        <w:spacing w:line="240" w:lineRule="exact"/>
        <w:ind w:left="900"/>
        <w:jc w:val="both"/>
      </w:pPr>
      <w:r>
        <w:t>El solicitante además debe indicar en su solicitud el medio por el cual desea recibir la información:</w:t>
      </w:r>
    </w:p>
    <w:p w:rsidR="002714B1" w:rsidRDefault="002714B1" w:rsidP="00116404">
      <w:pPr>
        <w:numPr>
          <w:ilvl w:val="0"/>
          <w:numId w:val="3"/>
        </w:numPr>
        <w:tabs>
          <w:tab w:val="clear" w:pos="2340"/>
          <w:tab w:val="num" w:pos="1260"/>
        </w:tabs>
        <w:spacing w:line="240" w:lineRule="exact"/>
        <w:ind w:left="1260"/>
        <w:jc w:val="both"/>
      </w:pPr>
      <w:r>
        <w:t>Correo Electrónico: Registrar dirección de correo electrónico habilitada</w:t>
      </w:r>
    </w:p>
    <w:p w:rsidR="002714B1" w:rsidRDefault="002714B1" w:rsidP="00116404">
      <w:pPr>
        <w:numPr>
          <w:ilvl w:val="0"/>
          <w:numId w:val="3"/>
        </w:numPr>
        <w:tabs>
          <w:tab w:val="clear" w:pos="2340"/>
          <w:tab w:val="num" w:pos="1260"/>
        </w:tabs>
        <w:spacing w:line="240" w:lineRule="exact"/>
        <w:ind w:left="1260"/>
        <w:jc w:val="both"/>
      </w:pPr>
      <w:r>
        <w:t>Retiro en Oficina: Registrar la oficina en la que retirará la respuesta</w:t>
      </w:r>
    </w:p>
    <w:p w:rsidR="002714B1" w:rsidRPr="00397F09" w:rsidRDefault="002714B1" w:rsidP="006F68A5">
      <w:pPr>
        <w:spacing w:line="240" w:lineRule="exact"/>
        <w:ind w:left="360"/>
        <w:jc w:val="both"/>
        <w:rPr>
          <w:sz w:val="18"/>
          <w:szCs w:val="18"/>
        </w:rPr>
      </w:pPr>
    </w:p>
    <w:p w:rsidR="002714B1" w:rsidRDefault="002714B1" w:rsidP="00116404">
      <w:pPr>
        <w:tabs>
          <w:tab w:val="left" w:pos="900"/>
        </w:tabs>
        <w:spacing w:line="240" w:lineRule="exact"/>
        <w:ind w:left="360"/>
        <w:jc w:val="both"/>
      </w:pPr>
      <w:r w:rsidRPr="00CF2018">
        <w:rPr>
          <w:b/>
        </w:rPr>
        <w:t>3.</w:t>
      </w:r>
      <w:r>
        <w:rPr>
          <w:b/>
        </w:rPr>
        <w:t>4</w:t>
      </w:r>
      <w:r w:rsidRPr="00CF2018">
        <w:rPr>
          <w:b/>
        </w:rPr>
        <w:t>.</w:t>
      </w:r>
      <w:r>
        <w:tab/>
      </w:r>
      <w:r>
        <w:rPr>
          <w:b/>
        </w:rPr>
        <w:t>Formato de entrega de la información</w:t>
      </w:r>
    </w:p>
    <w:p w:rsidR="002714B1" w:rsidRDefault="002714B1" w:rsidP="00116404">
      <w:pPr>
        <w:spacing w:line="240" w:lineRule="exact"/>
        <w:ind w:left="900"/>
        <w:jc w:val="both"/>
      </w:pPr>
      <w:r>
        <w:t>El solicitante puede identificar el formato de entrega de la solicitud de información:</w:t>
      </w:r>
    </w:p>
    <w:p w:rsidR="002714B1" w:rsidRDefault="002714B1" w:rsidP="00116404">
      <w:pPr>
        <w:numPr>
          <w:ilvl w:val="0"/>
          <w:numId w:val="3"/>
        </w:numPr>
        <w:tabs>
          <w:tab w:val="clear" w:pos="2340"/>
          <w:tab w:val="num" w:pos="1260"/>
        </w:tabs>
        <w:spacing w:line="240" w:lineRule="exact"/>
        <w:ind w:left="1260"/>
        <w:jc w:val="both"/>
      </w:pPr>
      <w:r>
        <w:t>Formato electrónico</w:t>
      </w:r>
    </w:p>
    <w:p w:rsidR="002714B1" w:rsidRDefault="002714B1" w:rsidP="00116404">
      <w:pPr>
        <w:numPr>
          <w:ilvl w:val="0"/>
          <w:numId w:val="3"/>
        </w:numPr>
        <w:tabs>
          <w:tab w:val="clear" w:pos="2340"/>
          <w:tab w:val="num" w:pos="1260"/>
        </w:tabs>
        <w:spacing w:line="240" w:lineRule="exact"/>
        <w:ind w:left="1260"/>
        <w:jc w:val="both"/>
      </w:pPr>
      <w:r>
        <w:t>Formato papel</w:t>
      </w:r>
    </w:p>
    <w:p w:rsidR="002714B1" w:rsidRPr="00397F09" w:rsidRDefault="002714B1" w:rsidP="00116404">
      <w:pPr>
        <w:spacing w:line="240" w:lineRule="exact"/>
        <w:ind w:left="900"/>
        <w:jc w:val="both"/>
        <w:rPr>
          <w:sz w:val="18"/>
          <w:szCs w:val="18"/>
        </w:rPr>
      </w:pPr>
    </w:p>
    <w:p w:rsidR="002714B1" w:rsidRDefault="002714B1" w:rsidP="00116404">
      <w:pPr>
        <w:tabs>
          <w:tab w:val="left" w:pos="900"/>
        </w:tabs>
        <w:spacing w:line="240" w:lineRule="exact"/>
        <w:ind w:left="360"/>
        <w:jc w:val="both"/>
      </w:pPr>
      <w:r w:rsidRPr="00CF2018">
        <w:rPr>
          <w:b/>
        </w:rPr>
        <w:lastRenderedPageBreak/>
        <w:t>3.</w:t>
      </w:r>
      <w:r>
        <w:rPr>
          <w:b/>
        </w:rPr>
        <w:t>5</w:t>
      </w:r>
      <w:r w:rsidRPr="00CF2018">
        <w:rPr>
          <w:b/>
        </w:rPr>
        <w:t>.</w:t>
      </w:r>
      <w:r>
        <w:tab/>
      </w:r>
      <w:r>
        <w:rPr>
          <w:b/>
        </w:rPr>
        <w:t>Firma de las solicitudes de información pública</w:t>
      </w:r>
    </w:p>
    <w:p w:rsidR="002714B1" w:rsidRDefault="002714B1" w:rsidP="00116404">
      <w:pPr>
        <w:spacing w:line="240" w:lineRule="exact"/>
        <w:ind w:left="900"/>
        <w:jc w:val="both"/>
      </w:pPr>
      <w:r>
        <w:t xml:space="preserve">Las solicitudes de información pública deben ser contestadas por la Jefatura o Jefe Superior del Organismo del Estado. No obstante podrá delegar la facultad de firma y el funcionario </w:t>
      </w:r>
      <w:r w:rsidR="00042E28">
        <w:t>responderá por</w:t>
      </w:r>
      <w:r>
        <w:t xml:space="preserve"> encargo de la Jefatura o Jefe Superior.</w:t>
      </w:r>
    </w:p>
    <w:p w:rsidR="002714B1" w:rsidRPr="00397F09" w:rsidRDefault="002714B1" w:rsidP="00116404">
      <w:pPr>
        <w:spacing w:line="240" w:lineRule="exact"/>
        <w:ind w:left="900"/>
        <w:jc w:val="both"/>
        <w:rPr>
          <w:sz w:val="18"/>
          <w:szCs w:val="18"/>
        </w:rPr>
      </w:pPr>
    </w:p>
    <w:p w:rsidR="002714B1" w:rsidRDefault="002714B1" w:rsidP="0026600A">
      <w:pPr>
        <w:tabs>
          <w:tab w:val="left" w:pos="900"/>
        </w:tabs>
        <w:spacing w:line="240" w:lineRule="exact"/>
        <w:ind w:left="360"/>
        <w:jc w:val="both"/>
      </w:pPr>
      <w:bookmarkStart w:id="0" w:name="OLE_LINK1"/>
      <w:r w:rsidRPr="00CF2018">
        <w:rPr>
          <w:b/>
        </w:rPr>
        <w:t>3.</w:t>
      </w:r>
      <w:r>
        <w:rPr>
          <w:b/>
        </w:rPr>
        <w:t>6</w:t>
      </w:r>
      <w:r w:rsidRPr="00CF2018">
        <w:rPr>
          <w:b/>
        </w:rPr>
        <w:t>.</w:t>
      </w:r>
      <w:r>
        <w:tab/>
      </w:r>
      <w:r>
        <w:rPr>
          <w:b/>
        </w:rPr>
        <w:t>Respuestas a las solicitudes de información pública</w:t>
      </w:r>
    </w:p>
    <w:p w:rsidR="002714B1" w:rsidRDefault="002714B1" w:rsidP="0026600A">
      <w:pPr>
        <w:spacing w:line="240" w:lineRule="exact"/>
        <w:ind w:left="900"/>
        <w:jc w:val="both"/>
      </w:pPr>
      <w:r>
        <w:t>Las respuestas a las solicitudes de información pública pueden ser:</w:t>
      </w:r>
    </w:p>
    <w:bookmarkEnd w:id="0"/>
    <w:p w:rsidR="002714B1" w:rsidRDefault="002714B1" w:rsidP="0026600A">
      <w:pPr>
        <w:numPr>
          <w:ilvl w:val="0"/>
          <w:numId w:val="3"/>
        </w:numPr>
        <w:tabs>
          <w:tab w:val="clear" w:pos="2340"/>
          <w:tab w:val="num" w:pos="1260"/>
        </w:tabs>
        <w:spacing w:line="240" w:lineRule="exact"/>
        <w:ind w:left="1260"/>
        <w:jc w:val="both"/>
      </w:pPr>
      <w:r w:rsidRPr="00230B4B">
        <w:rPr>
          <w:b/>
        </w:rPr>
        <w:t>Entregar la información solicitada:</w:t>
      </w:r>
      <w:r>
        <w:t xml:space="preserve"> La regla general es entregar la información, excepto cuando la información es secreta o reservada o cuando la información no está disponible. La entrega se realizará en la forma y por el medio que el solicitante haya señalado, siempre que no haya un costo excesivo o un gasto no previsto en el presupuesto institucional.</w:t>
      </w:r>
    </w:p>
    <w:p w:rsidR="002714B1" w:rsidRDefault="002714B1" w:rsidP="0026600A">
      <w:pPr>
        <w:numPr>
          <w:ilvl w:val="0"/>
          <w:numId w:val="3"/>
        </w:numPr>
        <w:tabs>
          <w:tab w:val="clear" w:pos="2340"/>
          <w:tab w:val="num" w:pos="1260"/>
        </w:tabs>
        <w:spacing w:line="240" w:lineRule="exact"/>
        <w:ind w:left="1260"/>
        <w:jc w:val="both"/>
      </w:pPr>
      <w:r w:rsidRPr="00230B4B">
        <w:rPr>
          <w:b/>
        </w:rPr>
        <w:t>Comunicar al solicitante la fuente, lugar y forma en la que puede tener acceso a la información:</w:t>
      </w:r>
      <w:r>
        <w:t xml:space="preserve"> Esto ocurre cuando se trata de información que ya se encuentra a disposición permanente del público o en medios impresos tales como libros, compendios, folletos, archivos públicos o formatos electrónicos.</w:t>
      </w:r>
    </w:p>
    <w:p w:rsidR="002714B1" w:rsidRDefault="002714B1" w:rsidP="0026600A">
      <w:pPr>
        <w:numPr>
          <w:ilvl w:val="0"/>
          <w:numId w:val="3"/>
        </w:numPr>
        <w:tabs>
          <w:tab w:val="clear" w:pos="2340"/>
          <w:tab w:val="num" w:pos="1260"/>
        </w:tabs>
        <w:spacing w:line="240" w:lineRule="exact"/>
        <w:ind w:left="1260"/>
        <w:jc w:val="both"/>
      </w:pPr>
      <w:r w:rsidRPr="00230B4B">
        <w:rPr>
          <w:b/>
        </w:rPr>
        <w:t>Negar la información solicitada:</w:t>
      </w:r>
      <w:r>
        <w:t xml:space="preserve"> La negativa debe ser fundada, lo que supone expresar y especificar por escrito la causal legal invocada y las razones que han motivado esta decisión, notificando de ello al solicitante en soporte papel o por medios electrónicos, según proceda.</w:t>
      </w:r>
    </w:p>
    <w:p w:rsidR="002714B1" w:rsidRDefault="002714B1" w:rsidP="0026600A">
      <w:pPr>
        <w:numPr>
          <w:ilvl w:val="0"/>
          <w:numId w:val="3"/>
        </w:numPr>
        <w:tabs>
          <w:tab w:val="clear" w:pos="2340"/>
          <w:tab w:val="num" w:pos="1260"/>
        </w:tabs>
        <w:spacing w:line="240" w:lineRule="exact"/>
        <w:ind w:left="1260"/>
        <w:jc w:val="both"/>
      </w:pPr>
      <w:r w:rsidRPr="00397F09">
        <w:rPr>
          <w:b/>
        </w:rPr>
        <w:t>Consultar a terceros:</w:t>
      </w:r>
      <w:r>
        <w:t xml:space="preserve"> Si la solicitud se refiere a documentos o antecedentes que contienen información que pueda afectar los derechos de terceros, la Jefatura requerida debe enviarle una copia del requerimiento a la o las personas afectadas, comunicando que pueden oponerse a la entrega de los documentos o antecedentes solicitados.</w:t>
      </w:r>
    </w:p>
    <w:p w:rsidR="002714B1" w:rsidRDefault="002714B1" w:rsidP="0026600A">
      <w:pPr>
        <w:spacing w:line="240" w:lineRule="exact"/>
        <w:ind w:left="1260"/>
        <w:jc w:val="both"/>
      </w:pPr>
      <w:r>
        <w:t>Si la o las personas ejercen su derecho de oposición dentro del plazo de tres días hábiles, contados desde la fecha de notificación, a través de un escrito que incluya las causas de la oposición, la Institución quedará impedida de proporcionar la documentación o antecedentes solicitados.</w:t>
      </w:r>
    </w:p>
    <w:p w:rsidR="002714B1" w:rsidRDefault="002714B1" w:rsidP="0026600A">
      <w:pPr>
        <w:numPr>
          <w:ilvl w:val="0"/>
          <w:numId w:val="3"/>
        </w:numPr>
        <w:tabs>
          <w:tab w:val="clear" w:pos="2340"/>
          <w:tab w:val="num" w:pos="1260"/>
        </w:tabs>
        <w:spacing w:line="240" w:lineRule="exact"/>
        <w:ind w:left="1260"/>
        <w:jc w:val="both"/>
      </w:pPr>
      <w:r w:rsidRPr="00397F09">
        <w:rPr>
          <w:b/>
        </w:rPr>
        <w:t>Derivar la solicitud:</w:t>
      </w:r>
      <w:r>
        <w:t xml:space="preserve"> Si se verifica que la solicitud no corresponde a una materia de la Institución se debe derivar por Oficio a la Jefatura del Servicio competente.</w:t>
      </w:r>
    </w:p>
    <w:p w:rsidR="002714B1" w:rsidRDefault="002714B1" w:rsidP="00C60B0A">
      <w:pPr>
        <w:spacing w:line="240" w:lineRule="exact"/>
        <w:ind w:left="1260"/>
        <w:jc w:val="both"/>
      </w:pPr>
      <w:r>
        <w:t>Si la solicitud corresponde parcialmente a la Institución, se debe entregar la información y derivar al Servicio que corresponda, para que responda al solicitante por la materia de su competencia.</w:t>
      </w:r>
    </w:p>
    <w:p w:rsidR="002714B1" w:rsidRDefault="002714B1" w:rsidP="0026600A">
      <w:pPr>
        <w:numPr>
          <w:ilvl w:val="0"/>
          <w:numId w:val="3"/>
        </w:numPr>
        <w:tabs>
          <w:tab w:val="clear" w:pos="2340"/>
          <w:tab w:val="num" w:pos="1260"/>
        </w:tabs>
        <w:spacing w:line="240" w:lineRule="exact"/>
        <w:ind w:left="1260"/>
        <w:jc w:val="both"/>
      </w:pPr>
      <w:r w:rsidRPr="00397F09">
        <w:rPr>
          <w:b/>
        </w:rPr>
        <w:t>Aplicar el principio de divisibilidad:</w:t>
      </w:r>
      <w:r>
        <w:t xml:space="preserve"> Si la información contiene datos que pueden ser conocidos y otros que deben denegarse en virtud de una causa legal, se dará acceso a la primera y no a la segunda, tachando los datos que no deben </w:t>
      </w:r>
      <w:r w:rsidR="00042E28">
        <w:t>ser conocidos</w:t>
      </w:r>
      <w:r>
        <w:t>.</w:t>
      </w:r>
    </w:p>
    <w:p w:rsidR="002714B1" w:rsidRDefault="002714B1" w:rsidP="0026600A">
      <w:pPr>
        <w:spacing w:line="240" w:lineRule="exact"/>
        <w:ind w:left="900"/>
        <w:jc w:val="both"/>
      </w:pPr>
    </w:p>
    <w:p w:rsidR="002714B1" w:rsidRDefault="002714B1" w:rsidP="00C60B0A">
      <w:pPr>
        <w:tabs>
          <w:tab w:val="left" w:pos="900"/>
        </w:tabs>
        <w:spacing w:line="240" w:lineRule="exact"/>
        <w:ind w:left="360"/>
        <w:jc w:val="both"/>
      </w:pPr>
      <w:r w:rsidRPr="00CF2018">
        <w:rPr>
          <w:b/>
        </w:rPr>
        <w:t>3.</w:t>
      </w:r>
      <w:r>
        <w:rPr>
          <w:b/>
        </w:rPr>
        <w:t>7</w:t>
      </w:r>
      <w:r w:rsidRPr="00CF2018">
        <w:rPr>
          <w:b/>
        </w:rPr>
        <w:t>.</w:t>
      </w:r>
      <w:r>
        <w:tab/>
      </w:r>
      <w:r>
        <w:rPr>
          <w:b/>
        </w:rPr>
        <w:t>Excepciones de entrega de información</w:t>
      </w:r>
    </w:p>
    <w:p w:rsidR="002714B1" w:rsidRPr="0011566B" w:rsidRDefault="002714B1" w:rsidP="00C60B0A">
      <w:pPr>
        <w:spacing w:line="240" w:lineRule="exact"/>
        <w:ind w:left="900"/>
        <w:jc w:val="both"/>
      </w:pPr>
      <w:r w:rsidRPr="0011566B">
        <w:t>Como ya se mencionó, la única causal para negar información es que exista algún fundamento legal que justifique dicha condición o restricción como es el caso de la protección de los datos sensibles de las personas.</w:t>
      </w:r>
    </w:p>
    <w:p w:rsidR="002714B1" w:rsidRDefault="002714B1" w:rsidP="00A64A55">
      <w:pPr>
        <w:spacing w:line="240" w:lineRule="exact"/>
        <w:ind w:left="900"/>
        <w:jc w:val="both"/>
      </w:pPr>
      <w:r>
        <w:t>Si se verifica que la solicitud corresponde a una materia secreta o reservada, se debe informar por carta al solicitante las causales de la denegación total o parcial tal como lo establece el artículo 21 de la Ley N° 20.285. Se debe indicar al solicitante que puede interponer amparo a su derecho de acceso a la información ante el Consejo para la Transparencia en el plazo de 15 días contado desde la notificación de la denegación de acceso.</w:t>
      </w:r>
    </w:p>
    <w:p w:rsidR="002714B1" w:rsidRDefault="002714B1" w:rsidP="00A64A55">
      <w:pPr>
        <w:spacing w:line="240" w:lineRule="exact"/>
        <w:ind w:left="900"/>
        <w:jc w:val="both"/>
      </w:pPr>
      <w:r>
        <w:t>La Ley N° 20.285 establece que las causales de secreto o reserva en cuya virtud se podrá denegar total o parcialmente el acceso a la información, son:</w:t>
      </w:r>
    </w:p>
    <w:p w:rsidR="002714B1" w:rsidRDefault="002714B1" w:rsidP="00A64A55">
      <w:pPr>
        <w:numPr>
          <w:ilvl w:val="0"/>
          <w:numId w:val="4"/>
        </w:numPr>
        <w:spacing w:line="240" w:lineRule="exact"/>
        <w:jc w:val="both"/>
      </w:pPr>
      <w:r>
        <w:t>Cuando su publicidad, comunicación o conocimiento afecte el debido cumplimiento de las funciones del órgano requerido, particularmente.</w:t>
      </w:r>
    </w:p>
    <w:p w:rsidR="002714B1" w:rsidRDefault="002714B1" w:rsidP="00A64A55">
      <w:pPr>
        <w:numPr>
          <w:ilvl w:val="1"/>
          <w:numId w:val="4"/>
        </w:numPr>
        <w:tabs>
          <w:tab w:val="clear" w:pos="1980"/>
          <w:tab w:val="left" w:pos="1260"/>
          <w:tab w:val="num" w:pos="1620"/>
        </w:tabs>
        <w:spacing w:line="240" w:lineRule="exact"/>
        <w:ind w:left="1620"/>
        <w:jc w:val="both"/>
      </w:pPr>
      <w:r>
        <w:t>Si es en desmedro de la prevención, investigación y persecución de un crimen o simple delito o se trate de antecedentes necesarios a defensas jurídicas y judiciales.</w:t>
      </w:r>
    </w:p>
    <w:p w:rsidR="002714B1" w:rsidRDefault="002714B1" w:rsidP="00A64A55">
      <w:pPr>
        <w:numPr>
          <w:ilvl w:val="1"/>
          <w:numId w:val="4"/>
        </w:numPr>
        <w:tabs>
          <w:tab w:val="clear" w:pos="1980"/>
          <w:tab w:val="left" w:pos="1260"/>
          <w:tab w:val="num" w:pos="1620"/>
        </w:tabs>
        <w:spacing w:line="240" w:lineRule="exact"/>
        <w:ind w:left="1620"/>
        <w:jc w:val="both"/>
      </w:pPr>
      <w:r>
        <w:t>Tratándose de antecedentes o deliberaciones previas a la adopción de una resolución, medida o política, sin perjuicio que los fundamentos de aquéllas sean públicos una vez que sean adoptadas.</w:t>
      </w:r>
    </w:p>
    <w:p w:rsidR="002714B1" w:rsidRDefault="002714B1" w:rsidP="00A64A55">
      <w:pPr>
        <w:numPr>
          <w:ilvl w:val="1"/>
          <w:numId w:val="4"/>
        </w:numPr>
        <w:tabs>
          <w:tab w:val="clear" w:pos="1980"/>
          <w:tab w:val="left" w:pos="1260"/>
          <w:tab w:val="num" w:pos="1620"/>
        </w:tabs>
        <w:spacing w:line="240" w:lineRule="exact"/>
        <w:ind w:left="1620"/>
        <w:jc w:val="both"/>
      </w:pPr>
      <w:r>
        <w:t>Tratándose de requerimientos de carácter genérico, referidos a un elevado número de actos administrativos o sus antecedentes o cuya atención requiera distraer indebidamente a los funcionarios del cumplimiento regular de sus labores habituales.</w:t>
      </w:r>
    </w:p>
    <w:p w:rsidR="002714B1" w:rsidRDefault="002714B1" w:rsidP="00C11E57">
      <w:pPr>
        <w:numPr>
          <w:ilvl w:val="0"/>
          <w:numId w:val="4"/>
        </w:numPr>
        <w:spacing w:line="240" w:lineRule="exact"/>
        <w:jc w:val="both"/>
      </w:pPr>
      <w:r>
        <w:lastRenderedPageBreak/>
        <w:t>Cuando su publicidad, comunicación o conocimiento afecte los derechos de las personas, particularmente tratándose de su seguridad, su salud, la esfera de su vida privada o derechos de carácter comercial o económico.</w:t>
      </w:r>
    </w:p>
    <w:p w:rsidR="002714B1" w:rsidRDefault="002714B1" w:rsidP="00C11E57">
      <w:pPr>
        <w:numPr>
          <w:ilvl w:val="0"/>
          <w:numId w:val="4"/>
        </w:numPr>
        <w:spacing w:line="240" w:lineRule="exact"/>
        <w:jc w:val="both"/>
      </w:pPr>
      <w:r>
        <w:t>Cuando su publicidad, comunicación o conocimiento afecte la seguridad de la nación, particularmente si se refiere a la defensa nacional o la mantención del orden público o la seguridad pública.</w:t>
      </w:r>
    </w:p>
    <w:p w:rsidR="002714B1" w:rsidRDefault="002714B1" w:rsidP="00C11E57">
      <w:pPr>
        <w:numPr>
          <w:ilvl w:val="0"/>
          <w:numId w:val="4"/>
        </w:numPr>
        <w:spacing w:line="240" w:lineRule="exact"/>
        <w:jc w:val="both"/>
      </w:pPr>
      <w:r>
        <w:t>Cuando su publicidad, comunicación o conocimiento afecte el interés nacional, en especial si se refieren a la salud pública o las relaciones internacionales y los intereses económicos o comerciales del país.</w:t>
      </w:r>
    </w:p>
    <w:p w:rsidR="002714B1" w:rsidRDefault="002714B1" w:rsidP="00C11E57">
      <w:pPr>
        <w:numPr>
          <w:ilvl w:val="0"/>
          <w:numId w:val="4"/>
        </w:numPr>
        <w:spacing w:line="240" w:lineRule="exact"/>
        <w:jc w:val="both"/>
      </w:pPr>
      <w:r>
        <w:t>Cuando se trate de documentos, datos o informaciones que una ley de quórum calificado haya declarado reservados o secretos, de acuerdo a las causales señaladas en el artículo 8° de la Constitución Política.</w:t>
      </w:r>
    </w:p>
    <w:p w:rsidR="002714B1" w:rsidRDefault="002714B1" w:rsidP="00C11E57">
      <w:pPr>
        <w:tabs>
          <w:tab w:val="left" w:pos="1260"/>
        </w:tabs>
        <w:spacing w:line="240" w:lineRule="exact"/>
        <w:ind w:left="1260"/>
        <w:jc w:val="both"/>
      </w:pPr>
    </w:p>
    <w:p w:rsidR="002714B1" w:rsidRDefault="002714B1" w:rsidP="00C11E57">
      <w:pPr>
        <w:tabs>
          <w:tab w:val="left" w:pos="900"/>
        </w:tabs>
        <w:spacing w:line="240" w:lineRule="exact"/>
        <w:ind w:left="360"/>
        <w:jc w:val="both"/>
      </w:pPr>
      <w:r w:rsidRPr="00CF2018">
        <w:rPr>
          <w:b/>
        </w:rPr>
        <w:t>3.</w:t>
      </w:r>
      <w:r>
        <w:rPr>
          <w:b/>
        </w:rPr>
        <w:t>8</w:t>
      </w:r>
      <w:r w:rsidRPr="00CF2018">
        <w:rPr>
          <w:b/>
        </w:rPr>
        <w:t>.</w:t>
      </w:r>
      <w:r>
        <w:tab/>
      </w:r>
      <w:r>
        <w:rPr>
          <w:b/>
        </w:rPr>
        <w:t>Entrega de datos personales</w:t>
      </w:r>
    </w:p>
    <w:p w:rsidR="002714B1" w:rsidRDefault="002714B1" w:rsidP="00C11E57">
      <w:pPr>
        <w:spacing w:line="240" w:lineRule="exact"/>
        <w:ind w:left="900"/>
        <w:jc w:val="both"/>
      </w:pPr>
      <w:r>
        <w:t xml:space="preserve">Cuando la información requerida contenga datos de carácter personal y el solicitante señale ser su titular, </w:t>
      </w:r>
      <w:r>
        <w:rPr>
          <w:b/>
        </w:rPr>
        <w:t>sólo se procederá a la entrega presencial</w:t>
      </w:r>
      <w:r>
        <w:t xml:space="preserve"> y quien efectúe la entrega deberá verificar que sea retirada por quien tenga dicha calidad o por su apoderado.</w:t>
      </w:r>
    </w:p>
    <w:p w:rsidR="002714B1" w:rsidRDefault="002714B1" w:rsidP="00C11E57">
      <w:pPr>
        <w:spacing w:line="240" w:lineRule="exact"/>
        <w:ind w:left="900"/>
        <w:jc w:val="both"/>
      </w:pPr>
      <w:r>
        <w:t>El solicitante deberá acreditar su identidad con su cédula al momento de retirar la información y en el caso del apoderado, además de la cédula deberá presentar el respectivo poder por escritura pública o instrumento privado suscrito ante notario.</w:t>
      </w:r>
    </w:p>
    <w:p w:rsidR="002714B1" w:rsidRDefault="002714B1" w:rsidP="00C11E57">
      <w:pPr>
        <w:spacing w:line="240" w:lineRule="exact"/>
        <w:ind w:left="900"/>
        <w:jc w:val="both"/>
      </w:pPr>
      <w:r>
        <w:t>Excepcionalmente se procederá a la entrega por medios electrónicos, cuando el titular utilice firma electrónica avanzada, conforme a lo dispuesto en la Ley N° 19.799.</w:t>
      </w:r>
    </w:p>
    <w:p w:rsidR="002714B1" w:rsidRDefault="002714B1" w:rsidP="00C11E57">
      <w:pPr>
        <w:spacing w:line="240" w:lineRule="exact"/>
        <w:ind w:left="900"/>
        <w:jc w:val="both"/>
      </w:pPr>
      <w:r>
        <w:t>Cuando el formato que contiene la información del solicitante, contempla datos personales de otras personas, se tacharán estos antecedentes.</w:t>
      </w:r>
    </w:p>
    <w:p w:rsidR="002714B1" w:rsidRDefault="002714B1" w:rsidP="00C11E57">
      <w:pPr>
        <w:spacing w:line="240" w:lineRule="exact"/>
        <w:ind w:left="900"/>
        <w:jc w:val="both"/>
      </w:pPr>
      <w:r>
        <w:t>Cuando la información solicitada contenga datos sensibles de un tercero, a quien se notificó y no manifestó consentimiento expreso de su parte, se tacharán sus datos en virtud del principio de divisibilidad, consignándose que se debe a la aplicación de la Ley N° 19.628 y se entregará la información restante.</w:t>
      </w:r>
    </w:p>
    <w:p w:rsidR="002714B1" w:rsidRDefault="002714B1" w:rsidP="00C11E57">
      <w:pPr>
        <w:spacing w:line="240" w:lineRule="exact"/>
        <w:ind w:left="900"/>
        <w:jc w:val="both"/>
      </w:pPr>
    </w:p>
    <w:p w:rsidR="002714B1" w:rsidRDefault="002714B1" w:rsidP="00577D09">
      <w:pPr>
        <w:tabs>
          <w:tab w:val="left" w:pos="900"/>
        </w:tabs>
        <w:spacing w:line="240" w:lineRule="exact"/>
        <w:ind w:left="360"/>
        <w:jc w:val="both"/>
      </w:pPr>
      <w:r w:rsidRPr="00CF2018">
        <w:rPr>
          <w:b/>
        </w:rPr>
        <w:t>3.</w:t>
      </w:r>
      <w:r>
        <w:rPr>
          <w:b/>
        </w:rPr>
        <w:t>9</w:t>
      </w:r>
      <w:r w:rsidRPr="00CF2018">
        <w:rPr>
          <w:b/>
        </w:rPr>
        <w:t>.</w:t>
      </w:r>
      <w:r>
        <w:tab/>
      </w:r>
      <w:r>
        <w:rPr>
          <w:b/>
        </w:rPr>
        <w:t>Notificación a terceros</w:t>
      </w:r>
    </w:p>
    <w:p w:rsidR="002714B1" w:rsidRDefault="002714B1" w:rsidP="00577D09">
      <w:pPr>
        <w:spacing w:line="240" w:lineRule="exact"/>
        <w:ind w:left="900"/>
        <w:jc w:val="both"/>
      </w:pPr>
      <w:r>
        <w:t>Como se mencionó anteriormente, si la solicitud de información se refiere a documentos o antecedentes que contienen información que puede afectar los derechos de terceros, la Jefatura requerida notificará sobre el requerimiento de información, por carta certificada en un plazo de dos días hábiles, a la persona o las personas, comunicándoles que pueden ejercer su derecho de oposición a la entrega de los documentos o antecedentes solicitados.</w:t>
      </w:r>
    </w:p>
    <w:p w:rsidR="002714B1" w:rsidRDefault="002714B1" w:rsidP="00577D09">
      <w:pPr>
        <w:spacing w:line="240" w:lineRule="exact"/>
        <w:ind w:left="900"/>
        <w:jc w:val="both"/>
      </w:pPr>
      <w:r>
        <w:t>La o las personas podrán ejercer su derecho de oposición dentro del plazo de tres días hábiles, contados desde la fecha de notificación, a través de un escrito que incluya las causas de la oposición.</w:t>
      </w:r>
    </w:p>
    <w:p w:rsidR="002714B1" w:rsidRDefault="002714B1" w:rsidP="00577D09">
      <w:pPr>
        <w:spacing w:line="240" w:lineRule="exact"/>
        <w:ind w:left="900"/>
        <w:jc w:val="both"/>
      </w:pPr>
      <w:r>
        <w:t>En caso de que se produzca la oposición, el órgano quedará impedido de proporcionar la documentación o antecedentes solicitados, salvo que, con posterioridad, se lo ordene el Consejo para la Transparencia. Si no hubiera oposición, se entenderá que el tercero afectado accede a la entrega de dicha información.</w:t>
      </w:r>
    </w:p>
    <w:p w:rsidR="002714B1" w:rsidRDefault="002714B1" w:rsidP="00577D09">
      <w:pPr>
        <w:spacing w:line="240" w:lineRule="exact"/>
        <w:ind w:left="900"/>
        <w:jc w:val="both"/>
      </w:pPr>
    </w:p>
    <w:p w:rsidR="002714B1" w:rsidRDefault="002714B1" w:rsidP="00D4127E">
      <w:pPr>
        <w:tabs>
          <w:tab w:val="left" w:pos="900"/>
        </w:tabs>
        <w:spacing w:line="240" w:lineRule="exact"/>
        <w:ind w:left="360"/>
        <w:jc w:val="both"/>
      </w:pPr>
      <w:r w:rsidRPr="00CF2018">
        <w:rPr>
          <w:b/>
        </w:rPr>
        <w:t>3.</w:t>
      </w:r>
      <w:r>
        <w:rPr>
          <w:b/>
        </w:rPr>
        <w:t>10</w:t>
      </w:r>
      <w:r w:rsidRPr="00CF2018">
        <w:rPr>
          <w:b/>
        </w:rPr>
        <w:t>.</w:t>
      </w:r>
      <w:r>
        <w:tab/>
      </w:r>
      <w:r>
        <w:rPr>
          <w:b/>
        </w:rPr>
        <w:t>Costos de Reproducción</w:t>
      </w:r>
    </w:p>
    <w:p w:rsidR="002714B1" w:rsidRDefault="002714B1" w:rsidP="00D4127E">
      <w:pPr>
        <w:spacing w:line="240" w:lineRule="exact"/>
        <w:ind w:left="900"/>
        <w:jc w:val="both"/>
      </w:pPr>
      <w:r>
        <w:t xml:space="preserve">La Ley N° 20.285 promueve el principio de gratuidad de la información, pero el artículo 18 del marco normativo establece que si la información solicitada implica un costo excesivo o un gasto no previsto en el presupuesto de la Institución, se podrá exigir el pago de los costos directos de reproducción y se suspende la entrega de la información en tanto el solicitante no </w:t>
      </w:r>
      <w:r w:rsidR="00042E28">
        <w:t>pague</w:t>
      </w:r>
      <w:r>
        <w:t xml:space="preserve"> los costos y valores correspondientes.</w:t>
      </w:r>
    </w:p>
    <w:p w:rsidR="002714B1" w:rsidRDefault="002714B1" w:rsidP="00D4127E">
      <w:pPr>
        <w:spacing w:line="240" w:lineRule="exact"/>
        <w:ind w:left="900"/>
        <w:jc w:val="both"/>
      </w:pPr>
      <w:r>
        <w:t xml:space="preserve">Por esta razón, todas las instituciones han establecido los costos de reproducción a través de Resoluciones de la Jefatura de la Institución, que se encuentran publicadas en el sitio Web de cada institución y se puede acceder al documento en el Banner del </w:t>
      </w:r>
      <w:r w:rsidR="00042E28">
        <w:t>Tribunal Calificador de Elecciones.</w:t>
      </w:r>
    </w:p>
    <w:p w:rsidR="002714B1" w:rsidRPr="00787A75" w:rsidRDefault="002714B1" w:rsidP="006F68A5">
      <w:pPr>
        <w:spacing w:line="240" w:lineRule="exact"/>
        <w:ind w:left="360"/>
        <w:jc w:val="both"/>
      </w:pPr>
    </w:p>
    <w:p w:rsidR="002714B1" w:rsidRPr="008D21A6" w:rsidRDefault="002714B1" w:rsidP="00055527">
      <w:pPr>
        <w:numPr>
          <w:ilvl w:val="0"/>
          <w:numId w:val="6"/>
        </w:numPr>
        <w:tabs>
          <w:tab w:val="left" w:pos="360"/>
        </w:tabs>
        <w:spacing w:line="240" w:lineRule="exact"/>
        <w:ind w:hanging="720"/>
        <w:jc w:val="both"/>
        <w:rPr>
          <w:b/>
        </w:rPr>
      </w:pPr>
      <w:r>
        <w:rPr>
          <w:b/>
        </w:rPr>
        <w:lastRenderedPageBreak/>
        <w:t>¿Cómo se fiscaliza el cumplimiento de transparencia?</w:t>
      </w:r>
    </w:p>
    <w:p w:rsidR="002714B1" w:rsidRDefault="002714B1" w:rsidP="00625CFF">
      <w:pPr>
        <w:spacing w:line="240" w:lineRule="exact"/>
        <w:ind w:left="360"/>
        <w:jc w:val="both"/>
      </w:pPr>
      <w:r>
        <w:t>Se puede fiscalizar por tres vías:</w:t>
      </w:r>
    </w:p>
    <w:p w:rsidR="002714B1" w:rsidRDefault="002714B1" w:rsidP="00625CFF">
      <w:pPr>
        <w:numPr>
          <w:ilvl w:val="0"/>
          <w:numId w:val="5"/>
        </w:numPr>
        <w:tabs>
          <w:tab w:val="clear" w:pos="1080"/>
          <w:tab w:val="num" w:pos="720"/>
        </w:tabs>
        <w:spacing w:line="240" w:lineRule="exact"/>
        <w:ind w:left="720"/>
        <w:jc w:val="both"/>
      </w:pPr>
      <w:r>
        <w:t>Por iniciativa particular: Es decir, por el reclamo o denuncia que cualquier persona ante el Consejo para la Transparencia por algún incumplimiento.</w:t>
      </w:r>
    </w:p>
    <w:p w:rsidR="002714B1" w:rsidRDefault="002714B1" w:rsidP="00625CFF">
      <w:pPr>
        <w:numPr>
          <w:ilvl w:val="0"/>
          <w:numId w:val="5"/>
        </w:numPr>
        <w:tabs>
          <w:tab w:val="clear" w:pos="1080"/>
          <w:tab w:val="num" w:pos="720"/>
        </w:tabs>
        <w:spacing w:line="240" w:lineRule="exact"/>
        <w:ind w:left="720"/>
        <w:jc w:val="both"/>
      </w:pPr>
      <w:r>
        <w:t>Mediante el control interno: Cada Institución establece unidades internas de control que velen por la observancia de la Ley N° 20.285.</w:t>
      </w:r>
    </w:p>
    <w:p w:rsidR="002714B1" w:rsidRDefault="002714B1" w:rsidP="00625CFF">
      <w:pPr>
        <w:numPr>
          <w:ilvl w:val="0"/>
          <w:numId w:val="5"/>
        </w:numPr>
        <w:tabs>
          <w:tab w:val="clear" w:pos="1080"/>
          <w:tab w:val="num" w:pos="720"/>
        </w:tabs>
        <w:spacing w:line="240" w:lineRule="exact"/>
        <w:ind w:left="720"/>
        <w:jc w:val="both"/>
      </w:pPr>
      <w:r>
        <w:t>Atribuciones fiscalizadoras: Del Consejo para la Transparencia y la Contraloría General de la República.</w:t>
      </w:r>
    </w:p>
    <w:p w:rsidR="002714B1" w:rsidRDefault="002714B1" w:rsidP="00625CFF">
      <w:pPr>
        <w:spacing w:line="240" w:lineRule="exact"/>
        <w:ind w:left="360"/>
        <w:jc w:val="both"/>
      </w:pPr>
    </w:p>
    <w:p w:rsidR="002714B1" w:rsidRPr="007747FA" w:rsidRDefault="002714B1" w:rsidP="007747FA">
      <w:pPr>
        <w:numPr>
          <w:ilvl w:val="0"/>
          <w:numId w:val="6"/>
        </w:numPr>
        <w:tabs>
          <w:tab w:val="left" w:pos="360"/>
        </w:tabs>
        <w:spacing w:line="240" w:lineRule="exact"/>
        <w:ind w:hanging="720"/>
        <w:jc w:val="both"/>
        <w:rPr>
          <w:b/>
        </w:rPr>
      </w:pPr>
      <w:r w:rsidRPr="007747FA">
        <w:rPr>
          <w:b/>
        </w:rPr>
        <w:t>¿Existen sanciones si no se cumple con los deberes de transparencia?</w:t>
      </w:r>
    </w:p>
    <w:p w:rsidR="002714B1" w:rsidRDefault="002714B1" w:rsidP="00625CFF">
      <w:pPr>
        <w:spacing w:line="240" w:lineRule="exact"/>
        <w:ind w:left="360"/>
        <w:jc w:val="both"/>
      </w:pPr>
      <w:r>
        <w:t xml:space="preserve">Cuando las instituciones no cumplen con los deberes de transparencia activa, se niega infundadamente una solicitud de acceso a la información o se entrega inoportunamente la información, se </w:t>
      </w:r>
      <w:r w:rsidR="00042E28">
        <w:t>sancionará con</w:t>
      </w:r>
      <w:r>
        <w:t xml:space="preserve"> multa de 20% a 50% de la remuneración de la autoridad, jefatura o jefe superior del órgano de la Administración del Estado.</w:t>
      </w:r>
    </w:p>
    <w:p w:rsidR="002714B1" w:rsidRDefault="002714B1" w:rsidP="00625CFF">
      <w:pPr>
        <w:spacing w:line="240" w:lineRule="exact"/>
        <w:ind w:left="360"/>
        <w:jc w:val="both"/>
      </w:pPr>
      <w:bookmarkStart w:id="1" w:name="_GoBack"/>
      <w:bookmarkEnd w:id="1"/>
    </w:p>
    <w:p w:rsidR="002714B1" w:rsidRPr="00654A58" w:rsidRDefault="002714B1" w:rsidP="00654A58">
      <w:pPr>
        <w:numPr>
          <w:ilvl w:val="0"/>
          <w:numId w:val="6"/>
        </w:numPr>
        <w:tabs>
          <w:tab w:val="left" w:pos="360"/>
        </w:tabs>
        <w:spacing w:line="240" w:lineRule="exact"/>
        <w:ind w:hanging="720"/>
        <w:jc w:val="both"/>
        <w:rPr>
          <w:b/>
        </w:rPr>
      </w:pPr>
      <w:r w:rsidRPr="00654A58">
        <w:rPr>
          <w:b/>
        </w:rPr>
        <w:t>¿Dónde puedo reclamar si no se cumple con las obligaciones de transparencia?</w:t>
      </w:r>
    </w:p>
    <w:p w:rsidR="002714B1" w:rsidRDefault="002714B1" w:rsidP="00625CFF">
      <w:pPr>
        <w:spacing w:line="240" w:lineRule="exact"/>
        <w:ind w:left="360"/>
        <w:jc w:val="both"/>
      </w:pPr>
      <w:r>
        <w:t>Si las personas detectan el incumplimiento de las obligaciones de transparencia, deben presentar sus reclamos ante el Consejo para la Transparencia.</w:t>
      </w:r>
    </w:p>
    <w:p w:rsidR="002714B1" w:rsidRDefault="002714B1" w:rsidP="00625CFF">
      <w:pPr>
        <w:spacing w:line="240" w:lineRule="exact"/>
        <w:ind w:left="360"/>
        <w:jc w:val="both"/>
      </w:pPr>
      <w:r>
        <w:t>Cuando el incumplimiento se refiera a la denegación de información, vencimiento del plazo de respuestas o cuando la información entregada no corresponda a lo solicitado o esté incompleta, el solicitante tiene 15 días hábiles contados desde la notificación de la respuesta para reclamar ante el Consejo, debiendo señalar claramente la infracción cometida y los hechos que la configuran y acompañando los medios de prueba que los acrediten.</w:t>
      </w:r>
    </w:p>
    <w:p w:rsidR="002714B1" w:rsidRDefault="002714B1" w:rsidP="00F50B0B">
      <w:pPr>
        <w:pStyle w:val="Prrafodelista"/>
        <w:spacing w:line="240" w:lineRule="exact"/>
        <w:ind w:left="0"/>
      </w:pPr>
    </w:p>
    <w:sectPr w:rsidR="002714B1" w:rsidSect="00D74599">
      <w:footerReference w:type="even" r:id="rId10"/>
      <w:footerReference w:type="default" r:id="rId11"/>
      <w:pgSz w:w="12240" w:h="20160" w:code="5"/>
      <w:pgMar w:top="1077" w:right="130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4B1" w:rsidRDefault="002714B1">
      <w:r>
        <w:separator/>
      </w:r>
    </w:p>
  </w:endnote>
  <w:endnote w:type="continuationSeparator" w:id="0">
    <w:p w:rsidR="002714B1" w:rsidRDefault="0027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4B1" w:rsidRDefault="002714B1" w:rsidP="00F0375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714B1" w:rsidRDefault="002714B1" w:rsidP="002305E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4B1" w:rsidRPr="002305ED" w:rsidRDefault="002714B1" w:rsidP="00F0375F">
    <w:pPr>
      <w:pStyle w:val="Piedepgina"/>
      <w:framePr w:wrap="around" w:vAnchor="text" w:hAnchor="margin" w:xAlign="right" w:y="1"/>
      <w:rPr>
        <w:rStyle w:val="Nmerodepgina"/>
        <w:sz w:val="20"/>
        <w:szCs w:val="20"/>
      </w:rPr>
    </w:pPr>
    <w:r w:rsidRPr="002305ED">
      <w:rPr>
        <w:rStyle w:val="Nmerodepgina"/>
        <w:sz w:val="20"/>
        <w:szCs w:val="20"/>
      </w:rPr>
      <w:fldChar w:fldCharType="begin"/>
    </w:r>
    <w:r w:rsidRPr="002305ED">
      <w:rPr>
        <w:rStyle w:val="Nmerodepgina"/>
        <w:sz w:val="20"/>
        <w:szCs w:val="20"/>
      </w:rPr>
      <w:instrText xml:space="preserve">PAGE  </w:instrText>
    </w:r>
    <w:r w:rsidRPr="002305ED">
      <w:rPr>
        <w:rStyle w:val="Nmerodepgina"/>
        <w:sz w:val="20"/>
        <w:szCs w:val="20"/>
      </w:rPr>
      <w:fldChar w:fldCharType="separate"/>
    </w:r>
    <w:r w:rsidR="00042E28">
      <w:rPr>
        <w:rStyle w:val="Nmerodepgina"/>
        <w:noProof/>
        <w:sz w:val="20"/>
        <w:szCs w:val="20"/>
      </w:rPr>
      <w:t>4</w:t>
    </w:r>
    <w:r w:rsidRPr="002305ED">
      <w:rPr>
        <w:rStyle w:val="Nmerodepgina"/>
        <w:sz w:val="20"/>
        <w:szCs w:val="20"/>
      </w:rPr>
      <w:fldChar w:fldCharType="end"/>
    </w:r>
  </w:p>
  <w:p w:rsidR="002714B1" w:rsidRDefault="002714B1" w:rsidP="002305E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4B1" w:rsidRDefault="002714B1">
      <w:r>
        <w:separator/>
      </w:r>
    </w:p>
  </w:footnote>
  <w:footnote w:type="continuationSeparator" w:id="0">
    <w:p w:rsidR="002714B1" w:rsidRDefault="00271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561F8"/>
    <w:multiLevelType w:val="multilevel"/>
    <w:tmpl w:val="2EF6E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0"/>
        </w:tabs>
        <w:ind w:left="189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</w:abstractNum>
  <w:abstractNum w:abstractNumId="1">
    <w:nsid w:val="1D366A2B"/>
    <w:multiLevelType w:val="hybridMultilevel"/>
    <w:tmpl w:val="7FE268E8"/>
    <w:lvl w:ilvl="0" w:tplc="3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1177868"/>
    <w:multiLevelType w:val="hybridMultilevel"/>
    <w:tmpl w:val="B854EBE4"/>
    <w:lvl w:ilvl="0" w:tplc="41748F1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67A16B97"/>
    <w:multiLevelType w:val="hybridMultilevel"/>
    <w:tmpl w:val="75CC843A"/>
    <w:lvl w:ilvl="0" w:tplc="34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9650B82"/>
    <w:multiLevelType w:val="hybridMultilevel"/>
    <w:tmpl w:val="334E819C"/>
    <w:lvl w:ilvl="0" w:tplc="34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74967927"/>
    <w:multiLevelType w:val="hybridMultilevel"/>
    <w:tmpl w:val="FC725860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D8CFB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7D"/>
    <w:rsid w:val="00001204"/>
    <w:rsid w:val="0002016C"/>
    <w:rsid w:val="000219F5"/>
    <w:rsid w:val="00042E28"/>
    <w:rsid w:val="00055527"/>
    <w:rsid w:val="00076CE0"/>
    <w:rsid w:val="00092D36"/>
    <w:rsid w:val="00097433"/>
    <w:rsid w:val="000A2A57"/>
    <w:rsid w:val="000A6B66"/>
    <w:rsid w:val="000E53CC"/>
    <w:rsid w:val="000F416E"/>
    <w:rsid w:val="0011566B"/>
    <w:rsid w:val="00115AC2"/>
    <w:rsid w:val="00116404"/>
    <w:rsid w:val="001372F4"/>
    <w:rsid w:val="001521BE"/>
    <w:rsid w:val="00177C16"/>
    <w:rsid w:val="00194C54"/>
    <w:rsid w:val="001C2D14"/>
    <w:rsid w:val="001D688A"/>
    <w:rsid w:val="001E14AD"/>
    <w:rsid w:val="002305ED"/>
    <w:rsid w:val="00230B4B"/>
    <w:rsid w:val="0026600A"/>
    <w:rsid w:val="002714B1"/>
    <w:rsid w:val="00293864"/>
    <w:rsid w:val="002A4C42"/>
    <w:rsid w:val="002A7CF2"/>
    <w:rsid w:val="002E45F3"/>
    <w:rsid w:val="002F3AAB"/>
    <w:rsid w:val="003360AE"/>
    <w:rsid w:val="0034363C"/>
    <w:rsid w:val="00351F6C"/>
    <w:rsid w:val="0036740B"/>
    <w:rsid w:val="00397F09"/>
    <w:rsid w:val="003A765C"/>
    <w:rsid w:val="003B440A"/>
    <w:rsid w:val="003D3215"/>
    <w:rsid w:val="003D3E10"/>
    <w:rsid w:val="003E22C2"/>
    <w:rsid w:val="004437D3"/>
    <w:rsid w:val="00450529"/>
    <w:rsid w:val="00453A53"/>
    <w:rsid w:val="00484470"/>
    <w:rsid w:val="004A557E"/>
    <w:rsid w:val="004F37C0"/>
    <w:rsid w:val="005245B8"/>
    <w:rsid w:val="00532831"/>
    <w:rsid w:val="00557CD6"/>
    <w:rsid w:val="00577D09"/>
    <w:rsid w:val="005E0BC9"/>
    <w:rsid w:val="00607EA2"/>
    <w:rsid w:val="00625CFF"/>
    <w:rsid w:val="00634024"/>
    <w:rsid w:val="00643E8A"/>
    <w:rsid w:val="00654A58"/>
    <w:rsid w:val="006A12D2"/>
    <w:rsid w:val="006B1803"/>
    <w:rsid w:val="006E4C7D"/>
    <w:rsid w:val="006F01B9"/>
    <w:rsid w:val="006F1B38"/>
    <w:rsid w:val="006F68A5"/>
    <w:rsid w:val="00756181"/>
    <w:rsid w:val="007747FA"/>
    <w:rsid w:val="00787A75"/>
    <w:rsid w:val="007A20CE"/>
    <w:rsid w:val="007E5A5A"/>
    <w:rsid w:val="00805625"/>
    <w:rsid w:val="0086741A"/>
    <w:rsid w:val="00885DAC"/>
    <w:rsid w:val="00891343"/>
    <w:rsid w:val="008B09F8"/>
    <w:rsid w:val="008B3A36"/>
    <w:rsid w:val="008D21A6"/>
    <w:rsid w:val="008E221F"/>
    <w:rsid w:val="00901D76"/>
    <w:rsid w:val="0092235F"/>
    <w:rsid w:val="00952EDC"/>
    <w:rsid w:val="00981DAB"/>
    <w:rsid w:val="009A3909"/>
    <w:rsid w:val="009C3F98"/>
    <w:rsid w:val="00A20294"/>
    <w:rsid w:val="00A318B8"/>
    <w:rsid w:val="00A34385"/>
    <w:rsid w:val="00A51864"/>
    <w:rsid w:val="00A57A91"/>
    <w:rsid w:val="00A64A55"/>
    <w:rsid w:val="00B16AE1"/>
    <w:rsid w:val="00B52370"/>
    <w:rsid w:val="00BA4F5E"/>
    <w:rsid w:val="00BC3454"/>
    <w:rsid w:val="00BD1AAD"/>
    <w:rsid w:val="00BE1997"/>
    <w:rsid w:val="00BF5884"/>
    <w:rsid w:val="00C11E57"/>
    <w:rsid w:val="00C54567"/>
    <w:rsid w:val="00C5625D"/>
    <w:rsid w:val="00C60B0A"/>
    <w:rsid w:val="00C67B1F"/>
    <w:rsid w:val="00C84041"/>
    <w:rsid w:val="00C905DA"/>
    <w:rsid w:val="00CC564D"/>
    <w:rsid w:val="00CF136D"/>
    <w:rsid w:val="00CF2018"/>
    <w:rsid w:val="00CF2FE7"/>
    <w:rsid w:val="00CF5498"/>
    <w:rsid w:val="00D04D22"/>
    <w:rsid w:val="00D12933"/>
    <w:rsid w:val="00D32E7E"/>
    <w:rsid w:val="00D35A1D"/>
    <w:rsid w:val="00D37FAC"/>
    <w:rsid w:val="00D4127E"/>
    <w:rsid w:val="00D74599"/>
    <w:rsid w:val="00D91DDB"/>
    <w:rsid w:val="00DB136B"/>
    <w:rsid w:val="00DF7ACE"/>
    <w:rsid w:val="00E029B5"/>
    <w:rsid w:val="00E257EF"/>
    <w:rsid w:val="00E46053"/>
    <w:rsid w:val="00E55AC8"/>
    <w:rsid w:val="00E62121"/>
    <w:rsid w:val="00EA3298"/>
    <w:rsid w:val="00EC0EC6"/>
    <w:rsid w:val="00EF16A5"/>
    <w:rsid w:val="00F0375F"/>
    <w:rsid w:val="00F041E2"/>
    <w:rsid w:val="00F50B0B"/>
    <w:rsid w:val="00FA79D5"/>
    <w:rsid w:val="00FB4E6C"/>
    <w:rsid w:val="00FC3D2A"/>
    <w:rsid w:val="00FC5DAD"/>
    <w:rsid w:val="00FC6D78"/>
    <w:rsid w:val="00FE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BAD10C23-7455-4539-BF2A-66F33A5D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D76"/>
    <w:pPr>
      <w:spacing w:after="200" w:line="276" w:lineRule="auto"/>
    </w:pPr>
    <w:rPr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6E4C7D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6E4C7D"/>
    <w:rPr>
      <w:rFonts w:cs="Times New Roman"/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2305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D32E7E"/>
    <w:rPr>
      <w:rFonts w:cs="Times New Roman"/>
      <w:lang w:val="es-MX" w:eastAsia="en-US"/>
    </w:rPr>
  </w:style>
  <w:style w:type="character" w:styleId="Nmerodepgina">
    <w:name w:val="page number"/>
    <w:basedOn w:val="Fuentedeprrafopredeter"/>
    <w:uiPriority w:val="99"/>
    <w:rsid w:val="002305ED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2305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D32E7E"/>
    <w:rPr>
      <w:rFonts w:cs="Times New Roman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4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599"/>
    <w:rPr>
      <w:rFonts w:ascii="Segoe UI" w:hAnsi="Segoe UI" w:cs="Segoe UI"/>
      <w:sz w:val="18"/>
      <w:szCs w:val="18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bunalcalificador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ribunalcalificador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C08E4-8BDD-4434-90A2-4FE72963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2160</Words>
  <Characters>11883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FORMAS DE SOLICITAR INFORMACIÓN PÚBLICA</vt:lpstr>
    </vt:vector>
  </TitlesOfParts>
  <Company>Toshiba</Company>
  <LinksUpToDate>false</LinksUpToDate>
  <CharactersWithSpaces>14015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FORMAS DE SOLICITAR INFORMACIÓN PÚBLICA</dc:title>
  <dc:subject/>
  <dc:creator>Carolina Aros</dc:creator>
  <cp:keywords/>
  <dc:description/>
  <cp:lastModifiedBy>Leopoldo Núñez Tomé</cp:lastModifiedBy>
  <cp:revision>2</cp:revision>
  <cp:lastPrinted>2015-11-20T15:01:00Z</cp:lastPrinted>
  <dcterms:created xsi:type="dcterms:W3CDTF">2015-11-20T16:51:00Z</dcterms:created>
  <dcterms:modified xsi:type="dcterms:W3CDTF">2015-11-20T16:51:00Z</dcterms:modified>
</cp:coreProperties>
</file>